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E8" w:rsidRPr="004137E8" w:rsidRDefault="004137E8" w:rsidP="004137E8">
      <w:pPr>
        <w:pBdr>
          <w:bottom w:val="dashed" w:sz="6" w:space="4" w:color="D5D5D5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403B10"/>
          <w:kern w:val="36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03B10"/>
          <w:kern w:val="36"/>
          <w:lang w:eastAsia="pl-PL"/>
        </w:rPr>
        <w:t xml:space="preserve">Ubój gospodarczy cieląt do 6 miesiąca życia, świń, owiec, kóz, drobiu, zajęczaków oraz zwierząt dzikich utrzymywanych w warunkach fermowych lub pozyskanych </w:t>
      </w:r>
      <w:r w:rsidR="00FA4FD9">
        <w:rPr>
          <w:rFonts w:ascii="Trebuchet MS" w:eastAsia="Times New Roman" w:hAnsi="Trebuchet MS" w:cs="Times New Roman"/>
          <w:b/>
          <w:bCs/>
          <w:color w:val="403B10"/>
          <w:kern w:val="36"/>
          <w:lang w:eastAsia="pl-PL"/>
        </w:rPr>
        <w:t xml:space="preserve">                  </w:t>
      </w:r>
      <w:r w:rsidRPr="004137E8">
        <w:rPr>
          <w:rFonts w:ascii="Trebuchet MS" w:eastAsia="Times New Roman" w:hAnsi="Trebuchet MS" w:cs="Times New Roman"/>
          <w:b/>
          <w:bCs/>
          <w:color w:val="403B10"/>
          <w:kern w:val="36"/>
          <w:lang w:eastAsia="pl-PL"/>
        </w:rPr>
        <w:t>w wyniku odstrzału dzikich zwierząt łownych, przeznaczonego na własne potrzeby.</w:t>
      </w:r>
    </w:p>
    <w:p w:rsid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44444"/>
          <w:lang w:eastAsia="pl-PL"/>
        </w:rPr>
      </w:pPr>
    </w:p>
    <w:p w:rsid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WARUNKI UBOJU ZWIERZĄT W GOSPODARSTWIE NA UŻYTEK WŁASNY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    </w:t>
      </w:r>
      <w:r>
        <w:rPr>
          <w:rFonts w:ascii="Trebuchet MS" w:eastAsia="Times New Roman" w:hAnsi="Trebuchet MS" w:cs="Times New Roman"/>
          <w:color w:val="444444"/>
          <w:lang w:eastAsia="pl-PL"/>
        </w:rPr>
        <w:t>W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 związku ze zmianą z dniem 19 listopada  2010 r. rozporządzenia  w sprawie wymagań weterynaryjnych przy produkcji mięsa przeznaczonego na użytek własny (Dz. U. z 2010 r. Nr 207 poz. 1370)</w:t>
      </w:r>
      <w:r w:rsidR="00FA4FD9">
        <w:rPr>
          <w:rFonts w:ascii="Trebuchet MS" w:eastAsia="Times New Roman" w:hAnsi="Trebuchet MS" w:cs="Times New Roman"/>
          <w:color w:val="444444"/>
          <w:lang w:eastAsia="pl-PL"/>
        </w:rPr>
        <w:t xml:space="preserve"> 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posiadacz zwierząt gospodarskich ma prawo ich uboju na terenie własnego gospodarstwa.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Jest to ubój własnych zwierząt gospodarskich celem pozyskania mięsa na użytek własny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, przy spełnieniu następujących warunków uboju i badania poubojowego mięsa.</w:t>
      </w:r>
    </w:p>
    <w:p w:rsid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Zgodnie z Rozporządzeniem Ministra Rolnictwa i Rozwoju Wsi z dnia 26 maja 2010r. </w:t>
      </w:r>
      <w:r w:rsidR="00FA4FD9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              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w sprawie wysokości kar pieniężnych za naruszenie przepisów o produktach pochodzenia zwierzęcego § 1 pkt 34 „niespełnienie wymagań weterynaryjnych przy produkcji mięsa na użytek własny zagrożone jest karą pieniężną</w:t>
      </w:r>
      <w:r>
        <w:rPr>
          <w:rFonts w:ascii="Trebuchet MS" w:eastAsia="Times New Roman" w:hAnsi="Trebuchet MS" w:cs="Times New Roman"/>
          <w:b/>
          <w:bCs/>
          <w:color w:val="444444"/>
          <w:lang w:eastAsia="pl-PL"/>
        </w:rPr>
        <w:t>.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 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1. Na 24 godziny przed ubojem posiadacz zwierząt gospodarskich informuje  </w:t>
      </w:r>
      <w:r w:rsidRPr="004137E8">
        <w:rPr>
          <w:rFonts w:ascii="Trebuchet MS" w:eastAsia="Times New Roman" w:hAnsi="Trebuchet MS" w:cs="Times New Roman"/>
          <w:color w:val="444444"/>
          <w:u w:val="single"/>
          <w:lang w:eastAsia="pl-PL"/>
        </w:rPr>
        <w:t>Powiatowego Lekarza Weterynarii na piśmie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</w:t>
      </w:r>
      <w:hyperlink r:id="rId5" w:tgtFrame="_blank" w:tooltip="powiadomienie.doc" w:history="1">
        <w:r w:rsidRPr="004137E8">
          <w:rPr>
            <w:rFonts w:ascii="Trebuchet MS" w:eastAsia="Times New Roman" w:hAnsi="Trebuchet MS" w:cs="Times New Roman"/>
            <w:color w:val="555555"/>
            <w:lang w:eastAsia="pl-PL"/>
          </w:rPr>
          <w:t>(</w:t>
        </w:r>
        <w:r w:rsidR="00FA4FD9">
          <w:rPr>
            <w:rFonts w:ascii="Trebuchet MS" w:eastAsia="Times New Roman" w:hAnsi="Trebuchet MS" w:cs="Times New Roman"/>
            <w:i/>
            <w:iCs/>
            <w:color w:val="555555"/>
            <w:lang w:eastAsia="pl-PL"/>
          </w:rPr>
          <w:t>według załącznika</w:t>
        </w:r>
        <w:r w:rsidRPr="004137E8">
          <w:rPr>
            <w:rFonts w:ascii="Trebuchet MS" w:eastAsia="Times New Roman" w:hAnsi="Trebuchet MS" w:cs="Times New Roman"/>
            <w:color w:val="555555"/>
            <w:lang w:eastAsia="pl-PL"/>
          </w:rPr>
          <w:t>)</w:t>
        </w:r>
      </w:hyperlink>
      <w:r w:rsidRPr="004137E8">
        <w:rPr>
          <w:rFonts w:ascii="Trebuchet MS" w:eastAsia="Times New Roman" w:hAnsi="Trebuchet MS" w:cs="Times New Roman"/>
          <w:color w:val="444444"/>
          <w:lang w:eastAsia="pl-PL"/>
        </w:rPr>
        <w:t>  o zamiarze przeprowadzenia uboju.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2. W przypadku uboju cieląt do 6 miesiąca życia, owiec kóz, w informacji musi się znaleźć deklaracja o utylizowaniu na własny koszt materiału szczególnego ryzyka (SRM) ) poprzez zgłoszenie i oddanie za pokwitowaniem do zakładu utylizacyjnego.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3. W przypadku uboju trzody chlewnej i nutrii mięso podlega (obowiązkowo) badaniu na obecność włośni. Taki sam obowiązek dotyczy mięsa dzików.</w:t>
      </w:r>
    </w:p>
    <w:p w:rsidR="00AE18BD" w:rsidRDefault="00AE18BD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Pr="004137E8" w:rsidRDefault="00AE18BD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>
        <w:rPr>
          <w:rFonts w:ascii="Trebuchet MS" w:eastAsia="Times New Roman" w:hAnsi="Trebuchet MS" w:cs="Times New Roman"/>
          <w:color w:val="444444"/>
          <w:lang w:eastAsia="pl-PL"/>
        </w:rPr>
        <w:t>Próbki do badania pobiera:</w:t>
      </w:r>
    </w:p>
    <w:p w:rsidR="00AE18BD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- urzędowy lekarz weterynarii w przypadku, gdy tusza podlega pełnemu badaniu  poubojowemu,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- posiadacz mięsa, w przypadku badania wyłącznie w kierunku obecności włośni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</w:r>
    </w:p>
    <w:p w:rsid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UWAGA</w:t>
      </w:r>
      <w:r w:rsidR="00AE18BD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!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 </w:t>
      </w:r>
      <w:r w:rsidR="00AE18BD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U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bój bydła powyżej 6 miesięcy jest  </w:t>
      </w:r>
      <w:r w:rsidR="00AE18BD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zabroniony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 poza rzeźnią.</w:t>
      </w:r>
    </w:p>
    <w:p w:rsidR="00AE18BD" w:rsidRPr="004137E8" w:rsidRDefault="00AE18BD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u w:val="single"/>
          <w:lang w:eastAsia="pl-PL"/>
        </w:rPr>
        <w:t>Materiałem szczególnego ryzyka  (SRM) w przypadku cieląt (do 6 miesiąca życia) są:</w:t>
      </w:r>
    </w:p>
    <w:p w:rsid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 migdałki,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2) jelita od dwunastnicy do odbytnicy,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 xml:space="preserve">3) krezka z tłuszczem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okołojelitowym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 i węzłami chłonnymi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4) stałe odpady powstające przy uboju i obróbce poubojowej mające kontakt z SRM.</w:t>
      </w:r>
    </w:p>
    <w:p w:rsidR="00AE18BD" w:rsidRPr="004137E8" w:rsidRDefault="00AE18BD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u w:val="single"/>
          <w:lang w:eastAsia="pl-PL"/>
        </w:rPr>
        <w:t>Materiałem szczególnego ryzyka (SRM)  w przypadku owiec i kóz (do 12 miesiąca życia) są:</w:t>
      </w:r>
    </w:p>
    <w:p w:rsid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 jelito biodrowe,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2) śledziona,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3) stałe odpady powstające przy uboju i obróbce poubojowej mające kontakt z SRM.</w:t>
      </w:r>
    </w:p>
    <w:p w:rsidR="00AE18BD" w:rsidRPr="004137E8" w:rsidRDefault="00AE18BD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u w:val="single"/>
          <w:lang w:eastAsia="pl-PL"/>
        </w:rPr>
        <w:t>Materiałem szczególnego ryzyka (SRM)  w przypadku owiec i kóz (powyżej 12 miesiąca życia) są: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 rdzeń kręgowy,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2) czaszka łącznie z mózgiem i gałkami ocznymi,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3) migdałki,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4) jelito biodrowe,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5) śledziona,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br/>
        <w:t>6) stałe odpady powstające przy uboju i obróbce poubojowej mające kontakt z SRM.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lastRenderedPageBreak/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AE18BD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Załącznik 1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Powiadomienie o zamiarze przeprowadzenia uboju na terenie gospodarstwa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/ cieląt do szóstego miesiąca życia, owiec lub kóz /* część I, II, III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/ innych zwierząt gospodarskich /* część I, III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 w celu produkcji mięsa przeznaczonego na użytek własny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I.   Informacja o zamiarze przeprowadzenia uboju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Imię i nazwisko, miejsce zamieszkania oraz adres posiadacza zwierzęcia: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Imię i nazwisko, miejsce zamieszkania oraz adres podmiotu prowadzącego gospodarstwo:</w:t>
      </w: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1)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Gatunek zwierząt poddawanych ubojowi: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Liczba zwierząt poddawanych ubojowi: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Numer identyfikacyjny zwierzęcia lub zwierząt poddawanych ubojowi:</w:t>
      </w: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2)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Miejsce uboju: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Termin uboju: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Imię i nazwisko oraz adres osoby uprawnionej do przeprowadzenia uboju: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................................................................................................................................................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Inne dane, w tym numer telefonu, przekazującego powiadomienie: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II.  Oświadczenie o zagospodarowaniu materiału szczególnego ryzyka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pasażowalnych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 gąbczastych encefalopatii (Dz. Urz. WE L 147 z 31.05.2001, str. 1, z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późn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. zm.; Dz. Urz. UE Polskie wydanie specjalne, rozdz. 3, t. 32, str. 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lastRenderedPageBreak/>
        <w:t xml:space="preserve">289, z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późn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. zm.) i rozporządzeniem (WE) nr 1774/2002 Parlamentu Europejskiego i Rady z dnia 3 października 2002 r. ustanawiającym przepisy sanitarne dotyczące produktów ubocznych pochodzenia zwierzęcego nieprzeznaczonych do spożycia przez ludzi (Dz. Urz. WE L 273 z 10.10.2002, str. 1, z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późn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 xml:space="preserve">. zm.; Dz. Urz. UE Polskie wydanie specjalne, rozdz. 3, t. 37, str. 92, z </w:t>
      </w:r>
      <w:proofErr w:type="spellStart"/>
      <w:r w:rsidRPr="004137E8">
        <w:rPr>
          <w:rFonts w:ascii="Trebuchet MS" w:eastAsia="Times New Roman" w:hAnsi="Trebuchet MS" w:cs="Times New Roman"/>
          <w:color w:val="444444"/>
          <w:lang w:eastAsia="pl-PL"/>
        </w:rPr>
        <w:t>późn</w:t>
      </w:r>
      <w:proofErr w:type="spellEnd"/>
      <w:r w:rsidRPr="004137E8">
        <w:rPr>
          <w:rFonts w:ascii="Trebuchet MS" w:eastAsia="Times New Roman" w:hAnsi="Trebuchet MS" w:cs="Times New Roman"/>
          <w:color w:val="444444"/>
          <w:lang w:eastAsia="pl-PL"/>
        </w:rPr>
        <w:t>. zm.).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III.  Informacja o zgłoszeniu mięsa do badania poubojowego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Zgłaszam do badania poubojowego mięso pozyskane / nie zgłaszam do badania poubojowego mięsa pozyskanego</w:t>
      </w: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3)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 ze zwierząt poddanych ubojowi w celu produkcji mięsa na użytek własny.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                                                       ......................................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                                                            (data i podpis)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______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1)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 Dotyczy uboju zwierząt w gospodarstwie innym niż gospodarstwo, w którym zwierzęta były utrzymywane.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2)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 Dotyczy cieląt do szóstego miesiąca życia, owiec i kóz, jeżeli z przepisów o systemie identyfikacji i rejestracji zwierząt wynika obowiązek oznakowania zwierzęcia.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vertAlign w:val="superscript"/>
          <w:lang w:eastAsia="pl-PL"/>
        </w:rPr>
        <w:t>3)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 Niepotrzebne skreślić.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br w:type="textWrapping" w:clear="all"/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 xml:space="preserve">Załącznik 2 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SPOSÓB POBIERANIA PRÓBEK DO BADANIA MIĘSA NA OBECNOŚĆ WŁOŚNI ORAZ ZASADY DOSTARCZANIA PRÓBEK DO URZĘDOWEGO LEKARZA WETERYNARII</w:t>
      </w:r>
    </w:p>
    <w:p w:rsidR="004137E8" w:rsidRPr="004137E8" w:rsidRDefault="004137E8" w:rsidP="004137E8">
      <w:pPr>
        <w:numPr>
          <w:ilvl w:val="0"/>
          <w:numId w:val="1"/>
        </w:numPr>
        <w:shd w:val="clear" w:color="auto" w:fill="FFFFFF"/>
        <w:spacing w:before="45" w:after="45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Sposób pobierania próbek mięsa</w:t>
      </w:r>
    </w:p>
    <w:p w:rsidR="004137E8" w:rsidRPr="004137E8" w:rsidRDefault="004137E8" w:rsidP="004137E8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U świń domowych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  pobiera się kilka próbek mięsa, każda wielkości orzecha laskowego, z mięśni obu filarów przepony w przejściu do części ścięgnistej;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2)   łączna masa pobranych próbek nie powinna być mniejsza niż 50 g.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U dzików</w:t>
      </w:r>
      <w:r w:rsidRPr="004137E8">
        <w:rPr>
          <w:rFonts w:ascii="Trebuchet MS" w:eastAsia="Times New Roman" w:hAnsi="Trebuchet MS" w:cs="Times New Roman"/>
          <w:color w:val="444444"/>
          <w:lang w:eastAsia="pl-PL"/>
        </w:rPr>
        <w:t>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  pobiera się sześć próbek mięsa, każda wielkości orzecha laskowego, po jednej próbce z: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a)   mięśni każdego filaru przepony w przejściu do części ścięgnistej,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b)   mięśni żuchwowych,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c)   mięśni przedramienia,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d)   mięśni międzyżebrowych,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e)   mięśni języka;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2)   jeżeli nie można pobrać próbek z niektórych mięśni określonych w pkt 1, wówczas pobiera się cztery próbki mięsa z mięśni, które są dostępne;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3)   łączna masa pobranych próbek nie powinna być mniejsza niż 50 g</w:t>
      </w: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.( wymagane jest 100 g )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3.   U nutrii: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  pobiera się dwie próbki mięsa, każda wielkości orzecha laskowego, z mięśni obu filarów przepony w przejściu do części ścięgnistej albo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2)   pobiera się jedną próbkę mięsa wielkości dwóch orzechów laskowych z mięśnia jednego filaru przepony - w przypadku, gdy drugi filar przepony jest niedostępny, albo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3)   pobiera się dwie próbki mięsa każda wielkości orzecha laskowego z części żebrowej lub mostkowej przepony - w przypadku braku mięśni obu filarów przepony, albo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4)   pobiera się dwie próbki mięsa, każda wielkości orzecha laskowego, z: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lastRenderedPageBreak/>
        <w:t>a)   mięśni języka,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b)   mięśni żuchwowych lub międzyżebrowych - w przypadku braku mięśni przepony.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lang w:eastAsia="pl-PL"/>
        </w:rPr>
        <w:t>Zasady dostarczania próbek do urzędowego lekarza weterynarii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1.   Próbki powinny być dostarczone do urzędowego lekarza weterynarii: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  niezwłocznie po dokonaniu uboju, nie później niż 24 godziny od terminu uboju zwierzęcia, z którego tuszy próbki zostały pobrane;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2)   niezwłocznie po dokonaniu odstrzału, nie później niż 48 godzin od dokonania odstrzału.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2.   Próbki powinny być przechowywane i transportowane w warunkach zapobiegających rozkładowi gnilnemu mięsa, przy czym próbki nie mogą być mrożone.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  3.   Dostarczający próbki powinien poinformować urzędowego lekarza weterynarii o: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1)   wieku zwierzęcia;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2)   miejscu pochodzenia zwierzęcia;</w:t>
      </w:r>
    </w:p>
    <w:p w:rsidR="004137E8" w:rsidRPr="004137E8" w:rsidRDefault="004137E8" w:rsidP="004137E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color w:val="444444"/>
          <w:lang w:eastAsia="pl-PL"/>
        </w:rPr>
        <w:t>3)   części zwierzęcia, z której zostały pobrane próbki do badania.</w:t>
      </w:r>
    </w:p>
    <w:p w:rsidR="00AE18BD" w:rsidRDefault="00AE18BD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444444"/>
          <w:u w:val="single"/>
          <w:lang w:eastAsia="pl-PL"/>
        </w:rPr>
      </w:pPr>
    </w:p>
    <w:p w:rsidR="004137E8" w:rsidRPr="004137E8" w:rsidRDefault="00AE18BD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444444"/>
          <w:u w:val="single"/>
          <w:lang w:eastAsia="pl-PL"/>
        </w:rPr>
        <w:t xml:space="preserve">Wyżej wymieniony akt prawny nakazuje </w:t>
      </w:r>
      <w:r w:rsidR="004137E8" w:rsidRPr="004137E8">
        <w:rPr>
          <w:rFonts w:ascii="Trebuchet MS" w:eastAsia="Times New Roman" w:hAnsi="Trebuchet MS" w:cs="Times New Roman"/>
          <w:b/>
          <w:bCs/>
          <w:color w:val="444444"/>
          <w:u w:val="single"/>
          <w:lang w:eastAsia="pl-PL"/>
        </w:rPr>
        <w:t>bezwzględny nakaz badania na włośnie</w:t>
      </w:r>
    </w:p>
    <w:p w:rsidR="004137E8" w:rsidRPr="004137E8" w:rsidRDefault="004137E8" w:rsidP="004137E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lang w:eastAsia="pl-PL"/>
        </w:rPr>
      </w:pPr>
      <w:r w:rsidRPr="004137E8">
        <w:rPr>
          <w:rFonts w:ascii="Trebuchet MS" w:eastAsia="Times New Roman" w:hAnsi="Trebuchet MS" w:cs="Times New Roman"/>
          <w:b/>
          <w:bCs/>
          <w:color w:val="444444"/>
          <w:u w:val="single"/>
          <w:lang w:eastAsia="pl-PL"/>
        </w:rPr>
        <w:t>mięsa świń i nutrii poddanych ubojowi na terenie gospodarstwa oraz mięsa dzików odstrzelonych z przeznaczeniem na użytek własny.</w:t>
      </w:r>
    </w:p>
    <w:p w:rsidR="001631EA" w:rsidRDefault="001631EA"/>
    <w:sectPr w:rsidR="0016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F7F"/>
    <w:multiLevelType w:val="multilevel"/>
    <w:tmpl w:val="4E9E8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547A"/>
    <w:multiLevelType w:val="multilevel"/>
    <w:tmpl w:val="22629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8"/>
    <w:rsid w:val="001631EA"/>
    <w:rsid w:val="004137E8"/>
    <w:rsid w:val="00AE18BD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6896-069B-4916-9CD6-581FD46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dp.pl/pliki/druki/powiadomieni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3</cp:revision>
  <dcterms:created xsi:type="dcterms:W3CDTF">2016-05-24T12:43:00Z</dcterms:created>
  <dcterms:modified xsi:type="dcterms:W3CDTF">2016-05-25T06:18:00Z</dcterms:modified>
</cp:coreProperties>
</file>